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6" w:rsidRDefault="0078792E">
      <w:pPr>
        <w:pStyle w:val="BodyText"/>
        <w:ind w:left="82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96" w:rsidRDefault="000F4996">
      <w:pPr>
        <w:spacing w:line="183" w:lineRule="exact"/>
        <w:ind w:right="117"/>
        <w:jc w:val="right"/>
        <w:rPr>
          <w:i/>
          <w:sz w:val="16"/>
        </w:rPr>
      </w:pPr>
      <w:r w:rsidRPr="000F49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0F4996" w:rsidRDefault="0078792E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0F4996">
        <w:pict>
          <v:group id="_x0000_s1053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8456;top:236;width:481;height:110">
              <v:imagedata r:id="rId8" o:title=""/>
            </v:shape>
            <v:shape id="_x0000_s1055" type="#_x0000_t75" style="position:absolute;left:8981;top:225;width:2324;height:259">
              <v:imagedata r:id="rId9" o:title=""/>
            </v:shape>
            <v:shape id="_x0000_s1054" type="#_x0000_t202" style="position:absolute;left:9293;top:227;width:82;height:123" filled="f" stroked="f">
              <v:textbox inset="0,0,0,0">
                <w:txbxContent>
                  <w:p w:rsidR="000F4996" w:rsidRDefault="0078792E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78792E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92E">
        <w:rPr>
          <w:i/>
          <w:color w:val="231F20"/>
          <w:sz w:val="16"/>
        </w:rPr>
        <w:t>Vol.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8,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No.2,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July,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2023,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pp.</w:t>
      </w:r>
      <w:r w:rsidR="0078792E">
        <w:rPr>
          <w:i/>
          <w:color w:val="231F20"/>
          <w:spacing w:val="-3"/>
          <w:sz w:val="16"/>
        </w:rPr>
        <w:t xml:space="preserve"> </w:t>
      </w:r>
      <w:r w:rsidR="0078792E">
        <w:rPr>
          <w:i/>
          <w:color w:val="231F20"/>
          <w:sz w:val="16"/>
        </w:rPr>
        <w:t>153-159</w:t>
      </w:r>
    </w:p>
    <w:p w:rsidR="000F4996" w:rsidRDefault="000F4996">
      <w:pPr>
        <w:pStyle w:val="BodyText"/>
        <w:spacing w:before="11"/>
        <w:rPr>
          <w:i/>
          <w:sz w:val="9"/>
        </w:rPr>
      </w:pPr>
    </w:p>
    <w:p w:rsidR="000F4996" w:rsidRDefault="000F4996">
      <w:pPr>
        <w:pStyle w:val="Title"/>
        <w:spacing w:line="235" w:lineRule="auto"/>
      </w:pPr>
      <w:r>
        <w:pict>
          <v:line id="_x0000_s1052" style="position:absolute;left:0;text-align:left;z-index:15731712;mso-position-horizontal-relative:page" from="46.55pt,-6.9pt" to="566.3pt,-6.9pt" strokecolor="#231f20" strokeweight=".5pt">
            <w10:wrap anchorx="page"/>
          </v:line>
        </w:pict>
      </w:r>
      <w:r w:rsidR="0078792E">
        <w:rPr>
          <w:color w:val="231F20"/>
        </w:rPr>
        <w:t>Characterization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of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Groundwater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Potential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Zones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from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a</w:t>
      </w:r>
      <w:r w:rsidR="0078792E">
        <w:rPr>
          <w:color w:val="231F20"/>
          <w:spacing w:val="-10"/>
        </w:rPr>
        <w:t xml:space="preserve"> </w:t>
      </w:r>
      <w:r w:rsidR="0078792E">
        <w:rPr>
          <w:color w:val="231F20"/>
        </w:rPr>
        <w:t>Tropical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River</w:t>
      </w:r>
      <w:r w:rsidR="0078792E">
        <w:rPr>
          <w:color w:val="231F20"/>
          <w:spacing w:val="-3"/>
        </w:rPr>
        <w:t xml:space="preserve"> </w:t>
      </w:r>
      <w:r w:rsidR="0078792E">
        <w:rPr>
          <w:color w:val="231F20"/>
        </w:rPr>
        <w:t>Basin,</w:t>
      </w:r>
      <w:r w:rsidR="0078792E">
        <w:rPr>
          <w:color w:val="231F20"/>
          <w:spacing w:val="-74"/>
        </w:rPr>
        <w:t xml:space="preserve"> </w:t>
      </w:r>
      <w:r w:rsidR="0078792E">
        <w:rPr>
          <w:color w:val="231F20"/>
        </w:rPr>
        <w:t>Southern</w:t>
      </w:r>
      <w:r w:rsidR="0078792E">
        <w:rPr>
          <w:color w:val="231F20"/>
          <w:spacing w:val="-7"/>
        </w:rPr>
        <w:t xml:space="preserve"> </w:t>
      </w:r>
      <w:r w:rsidR="0078792E">
        <w:rPr>
          <w:color w:val="231F20"/>
        </w:rPr>
        <w:t>Western Ghats, India</w:t>
      </w:r>
    </w:p>
    <w:p w:rsidR="000F4996" w:rsidRDefault="0078792E">
      <w:pPr>
        <w:spacing w:before="262"/>
        <w:ind w:left="464" w:right="446"/>
        <w:jc w:val="center"/>
        <w:rPr>
          <w:sz w:val="24"/>
        </w:rPr>
      </w:pPr>
      <w:r>
        <w:rPr>
          <w:color w:val="231F20"/>
          <w:sz w:val="24"/>
        </w:rPr>
        <w:t>Shabna Sherin,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Arunkumar K.S.</w:t>
      </w:r>
      <w:r>
        <w:rPr>
          <w:color w:val="231F20"/>
          <w:position w:val="12"/>
          <w:sz w:val="12"/>
        </w:rPr>
        <w:t>*</w:t>
      </w:r>
      <w:r>
        <w:rPr>
          <w:color w:val="231F20"/>
          <w:spacing w:val="29"/>
          <w:position w:val="12"/>
          <w:sz w:val="12"/>
        </w:rPr>
        <w:t xml:space="preserve"> </w:t>
      </w:r>
      <w:r>
        <w:rPr>
          <w:color w:val="231F20"/>
          <w:sz w:val="24"/>
        </w:rPr>
        <w:t>and Sreechitra Suresh</w:t>
      </w:r>
    </w:p>
    <w:p w:rsidR="000F4996" w:rsidRDefault="000F4996">
      <w:pPr>
        <w:pStyle w:val="BodyText"/>
        <w:spacing w:before="7"/>
        <w:rPr>
          <w:sz w:val="16"/>
        </w:rPr>
      </w:pPr>
    </w:p>
    <w:p w:rsidR="000F4996" w:rsidRDefault="0078792E">
      <w:pPr>
        <w:spacing w:before="70" w:line="254" w:lineRule="auto"/>
        <w:ind w:left="3267" w:right="598" w:hanging="2648"/>
        <w:rPr>
          <w:i/>
          <w:sz w:val="18"/>
        </w:rPr>
      </w:pP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PG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Studies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MES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Ponnani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College,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South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Ponnani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P.O.,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Malappuram-679586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(KL),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author, E-mail: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ksarunenv@gmail.com)</w:t>
      </w:r>
    </w:p>
    <w:p w:rsidR="000F4996" w:rsidRDefault="000F4996">
      <w:pPr>
        <w:pStyle w:val="BodyText"/>
        <w:rPr>
          <w:i/>
          <w:sz w:val="18"/>
        </w:rPr>
      </w:pPr>
      <w:r w:rsidRPr="000F4996">
        <w:pict>
          <v:shape id="_x0000_s1051" style="position:absolute;margin-left:46.55pt;margin-top:12.55pt;width:519.75pt;height:.1pt;z-index:-15727616;mso-wrap-distance-left:0;mso-wrap-distance-right:0;mso-position-horizontal-relative:page" coordorigin="931,251" coordsize="10395,0" path="m931,251r10395,e" filled="f" strokecolor="#231f20" strokeweight=".5pt">
            <v:path arrowok="t"/>
            <w10:wrap type="topAndBottom" anchorx="page"/>
          </v:shape>
        </w:pict>
      </w:r>
    </w:p>
    <w:p w:rsidR="000F4996" w:rsidRDefault="000F4996">
      <w:pPr>
        <w:pStyle w:val="BodyText"/>
        <w:spacing w:before="6"/>
        <w:rPr>
          <w:i/>
          <w:sz w:val="16"/>
        </w:rPr>
      </w:pPr>
    </w:p>
    <w:p w:rsidR="000F4996" w:rsidRDefault="0078792E">
      <w:pPr>
        <w:pStyle w:val="Heading1"/>
      </w:pPr>
      <w:r>
        <w:rPr>
          <w:color w:val="231F20"/>
        </w:rPr>
        <w:t>Abstract</w:t>
      </w:r>
    </w:p>
    <w:p w:rsidR="000F4996" w:rsidRDefault="000F4996">
      <w:pPr>
        <w:pStyle w:val="BodyText"/>
        <w:spacing w:before="7"/>
        <w:rPr>
          <w:b/>
          <w:sz w:val="22"/>
        </w:rPr>
      </w:pPr>
    </w:p>
    <w:p w:rsidR="000F4996" w:rsidRDefault="0078792E">
      <w:pPr>
        <w:spacing w:line="283" w:lineRule="auto"/>
        <w:ind w:left="151" w:right="130" w:firstLine="453"/>
        <w:jc w:val="both"/>
        <w:rPr>
          <w:sz w:val="17"/>
        </w:rPr>
      </w:pPr>
      <w:r>
        <w:rPr>
          <w:color w:val="231F20"/>
          <w:sz w:val="17"/>
        </w:rPr>
        <w:t>The increasing demands for groundwater resources and marked changes in climate over the years have imposed immense pressure on global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resources.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present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study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undertaken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emphasize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expediency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remote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sensing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geographic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information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system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(GIS)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1"/>
          <w:sz w:val="17"/>
        </w:rPr>
        <w:t xml:space="preserve"> </w:t>
      </w:r>
      <w:r>
        <w:rPr>
          <w:color w:val="231F20"/>
          <w:sz w:val="17"/>
        </w:rPr>
        <w:t>delineate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small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tropical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basin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Kerala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(India),</w:t>
      </w:r>
      <w:r>
        <w:rPr>
          <w:color w:val="231F20"/>
          <w:spacing w:val="-12"/>
          <w:sz w:val="17"/>
        </w:rPr>
        <w:t xml:space="preserve"> </w:t>
      </w:r>
      <w:r>
        <w:rPr>
          <w:i/>
          <w:color w:val="231F20"/>
          <w:sz w:val="17"/>
        </w:rPr>
        <w:t>viz.</w:t>
      </w:r>
      <w:r>
        <w:rPr>
          <w:color w:val="231F20"/>
          <w:sz w:val="17"/>
        </w:rPr>
        <w:t>,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Basin.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Atotal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10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geo-environmental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thematic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layers such as Geology, Geomorphology, Drainage density, Rainfall, Soi</w:t>
      </w:r>
      <w:r>
        <w:rPr>
          <w:color w:val="231F20"/>
          <w:sz w:val="17"/>
        </w:rPr>
        <w:t>l, Slope, Topographic Position Index, Groundwater level and Curvature were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-1"/>
          <w:sz w:val="17"/>
        </w:rPr>
        <w:t>prepared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studied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zone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demarcation.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Weights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assigned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each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class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thematic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maps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based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their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characteristics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water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potential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capacity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1"/>
          <w:sz w:val="17"/>
        </w:rPr>
        <w:t>through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Weighed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overlay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method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(WoM).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zone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map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subsequently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obtained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was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classified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five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classes-very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high,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high,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1"/>
          <w:sz w:val="17"/>
        </w:rPr>
        <w:t>moderate,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low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very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low.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study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reveals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about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63%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river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basin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covered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under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moderate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zone.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low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high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zones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observed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27%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9%,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respectively.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area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under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very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high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very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low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zones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recorded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only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very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limited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areas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(&gt;1%)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basin.</w:t>
      </w:r>
    </w:p>
    <w:p w:rsidR="000F4996" w:rsidRDefault="000F4996">
      <w:pPr>
        <w:pStyle w:val="BodyText"/>
        <w:spacing w:before="3"/>
        <w:rPr>
          <w:sz w:val="13"/>
        </w:rPr>
      </w:pPr>
    </w:p>
    <w:p w:rsidR="000F4996" w:rsidRDefault="0078792E">
      <w:pPr>
        <w:spacing w:before="72"/>
        <w:ind w:left="151"/>
        <w:rPr>
          <w:sz w:val="17"/>
        </w:rPr>
      </w:pPr>
      <w:r>
        <w:rPr>
          <w:i/>
          <w:color w:val="231F20"/>
          <w:sz w:val="17"/>
        </w:rPr>
        <w:t>Keywords: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Groundwater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Zone;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Weighed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Overlay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Method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(WoM);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GIS;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Thuthapuzha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River;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Kerala</w:t>
      </w:r>
    </w:p>
    <w:p w:rsidR="000F4996" w:rsidRDefault="000F4996">
      <w:pPr>
        <w:pStyle w:val="BodyText"/>
        <w:spacing w:before="2"/>
        <w:rPr>
          <w:sz w:val="18"/>
        </w:rPr>
      </w:pPr>
      <w:r w:rsidRPr="000F4996">
        <w:pict>
          <v:shape id="_x0000_s1050" style="position:absolute;margin-left:46.55pt;margin-top:12.65pt;width:519.75pt;height:.1pt;z-index:-15727104;mso-wrap-distance-left:0;mso-wrap-distance-right:0;mso-position-horizontal-relative:page" coordorigin="931,253" coordsize="10395,0" path="m931,253r10395,e" filled="f" strokecolor="#231f20" strokeweight=".5pt">
            <v:path arrowok="t"/>
            <w10:wrap type="topAndBottom" anchorx="page"/>
          </v:shape>
        </w:pict>
      </w:r>
    </w:p>
    <w:p w:rsidR="000F4996" w:rsidRDefault="000F4996">
      <w:pPr>
        <w:pStyle w:val="BodyText"/>
        <w:spacing w:before="9"/>
        <w:rPr>
          <w:sz w:val="11"/>
        </w:rPr>
      </w:pPr>
    </w:p>
    <w:p w:rsidR="000F4996" w:rsidRDefault="000F4996">
      <w:pPr>
        <w:rPr>
          <w:sz w:val="11"/>
        </w:rPr>
        <w:sectPr w:rsidR="000F4996">
          <w:footerReference w:type="default" r:id="rId11"/>
          <w:type w:val="continuous"/>
          <w:pgSz w:w="12240" w:h="15840"/>
          <w:pgMar w:top="1480" w:right="800" w:bottom="280" w:left="780" w:header="720" w:footer="0" w:gutter="0"/>
          <w:pgNumType w:start="153"/>
          <w:cols w:space="720"/>
        </w:sectPr>
      </w:pPr>
    </w:p>
    <w:p w:rsidR="000F4996" w:rsidRDefault="000F4996" w:rsidP="005057F8">
      <w:pPr>
        <w:pStyle w:val="Heading1"/>
        <w:spacing w:before="68"/>
        <w:rPr>
          <w:sz w:val="17"/>
        </w:rPr>
      </w:pPr>
    </w:p>
    <w:sectPr w:rsidR="000F4996" w:rsidSect="005057F8">
      <w:headerReference w:type="even" r:id="rId12"/>
      <w:headerReference w:type="default" r:id="rId13"/>
      <w:type w:val="continuous"/>
      <w:pgSz w:w="12240" w:h="15840"/>
      <w:pgMar w:top="1480" w:right="800" w:bottom="280" w:left="780" w:header="720" w:footer="720" w:gutter="0"/>
      <w:cols w:num="2" w:space="720" w:equalWidth="0">
        <w:col w:w="5217" w:space="135"/>
        <w:col w:w="53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2E" w:rsidRDefault="0078792E" w:rsidP="000F4996">
      <w:r>
        <w:separator/>
      </w:r>
    </w:p>
  </w:endnote>
  <w:endnote w:type="continuationSeparator" w:id="1">
    <w:p w:rsidR="0078792E" w:rsidRDefault="0078792E" w:rsidP="000F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96" w:rsidRDefault="000F499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2E" w:rsidRDefault="0078792E" w:rsidP="000F4996">
      <w:r>
        <w:separator/>
      </w:r>
    </w:p>
  </w:footnote>
  <w:footnote w:type="continuationSeparator" w:id="1">
    <w:p w:rsidR="0078792E" w:rsidRDefault="0078792E" w:rsidP="000F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96" w:rsidRDefault="000F4996">
    <w:pPr>
      <w:pStyle w:val="BodyText"/>
      <w:spacing w:line="14" w:lineRule="auto"/>
      <w:rPr>
        <w:sz w:val="20"/>
      </w:rPr>
    </w:pPr>
    <w:r w:rsidRPr="000F49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55pt;margin-top:45.15pt;width:89.25pt;height:10pt;z-index:-16246272;mso-position-horizontal-relative:page;mso-position-vertical-relative:page" filled="f" stroked="f">
          <v:textbox inset="0,0,0,0">
            <w:txbxContent>
              <w:p w:rsidR="000F4996" w:rsidRDefault="000F4996">
                <w:pPr>
                  <w:spacing w:line="197" w:lineRule="exact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 w:rsidR="0078792E">
                  <w:rPr>
                    <w:rFonts w:ascii="Arial"/>
                    <w:i/>
                    <w:color w:val="231F20"/>
                    <w:w w:val="8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7F8">
                  <w:rPr>
                    <w:rFonts w:ascii="Arial"/>
                    <w:i/>
                    <w:noProof/>
                    <w:color w:val="231F20"/>
                    <w:w w:val="85"/>
                    <w:sz w:val="16"/>
                  </w:rPr>
                  <w:t>158</w:t>
                </w:r>
                <w:r>
                  <w:fldChar w:fldCharType="end"/>
                </w:r>
                <w:r w:rsidR="0078792E">
                  <w:rPr>
                    <w:rFonts w:ascii="Arial"/>
                    <w:i/>
                    <w:color w:val="231F20"/>
                    <w:spacing w:val="30"/>
                    <w:w w:val="85"/>
                    <w:sz w:val="16"/>
                  </w:rPr>
                  <w:t xml:space="preserve"> </w:t>
                </w:r>
                <w:r w:rsidR="0078792E">
                  <w:rPr>
                    <w:rFonts w:ascii="Lucida Sans Unicode"/>
                    <w:color w:val="231F20"/>
                    <w:w w:val="85"/>
                    <w:sz w:val="12"/>
                  </w:rPr>
                  <w:t>p</w:t>
                </w:r>
                <w:r w:rsidR="0078792E">
                  <w:rPr>
                    <w:rFonts w:ascii="Lucida Sans Unicode"/>
                    <w:color w:val="231F20"/>
                    <w:spacing w:val="5"/>
                    <w:w w:val="85"/>
                    <w:sz w:val="12"/>
                  </w:rPr>
                  <w:t xml:space="preserve"> </w:t>
                </w:r>
                <w:r w:rsidR="0078792E">
                  <w:rPr>
                    <w:rFonts w:ascii="Arial"/>
                    <w:i/>
                    <w:color w:val="231F20"/>
                    <w:w w:val="85"/>
                    <w:sz w:val="16"/>
                  </w:rPr>
                  <w:t>Shabna</w:t>
                </w:r>
                <w:r w:rsidR="0078792E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78792E">
                  <w:rPr>
                    <w:rFonts w:ascii="Arial"/>
                    <w:i/>
                    <w:color w:val="231F20"/>
                    <w:w w:val="85"/>
                    <w:sz w:val="16"/>
                  </w:rPr>
                  <w:t>Sherin</w:t>
                </w:r>
                <w:r w:rsidR="0078792E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78792E">
                  <w:rPr>
                    <w:rFonts w:ascii="Arial"/>
                    <w:i/>
                    <w:color w:val="231F20"/>
                    <w:w w:val="85"/>
                    <w:sz w:val="16"/>
                  </w:rPr>
                  <w:t>et</w:t>
                </w:r>
                <w:r w:rsidR="0078792E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78792E">
                  <w:rPr>
                    <w:rFonts w:ascii="Arial"/>
                    <w:i/>
                    <w:color w:val="231F20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  <w:r w:rsidRPr="000F4996">
      <w:pict>
        <v:shape id="_x0000_s2051" type="#_x0000_t202" style="position:absolute;margin-left:476.45pt;margin-top:45.15pt;width:88.75pt;height:10pt;z-index:-16245760;mso-position-horizontal-relative:page;mso-position-vertical-relative:page" filled="f" stroked="f">
          <v:textbox inset="0,0,0,0">
            <w:txbxContent>
              <w:p w:rsidR="000F4996" w:rsidRDefault="0078792E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96" w:rsidRDefault="000F4996">
    <w:pPr>
      <w:pStyle w:val="BodyText"/>
      <w:spacing w:line="14" w:lineRule="auto"/>
      <w:rPr>
        <w:sz w:val="20"/>
      </w:rPr>
    </w:pPr>
    <w:r w:rsidRPr="000F49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55pt;margin-top:45.15pt;width:88.75pt;height:10pt;z-index:-16245248;mso-position-horizontal-relative:page;mso-position-vertical-relative:page" filled="f" stroked="f">
          <v:textbox inset="0,0,0,0">
            <w:txbxContent>
              <w:p w:rsidR="000F4996" w:rsidRDefault="0078792E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0F4996">
      <w:pict>
        <v:shape id="_x0000_s2049" type="#_x0000_t202" style="position:absolute;margin-left:318.65pt;margin-top:45.15pt;width:249.35pt;height:10pt;z-index:-16244736;mso-position-horizontal-relative:page;mso-position-vertical-relative:page" filled="f" stroked="f">
          <v:textbox inset="0,0,0,0">
            <w:txbxContent>
              <w:p w:rsidR="000F4996" w:rsidRDefault="0078792E">
                <w:pPr>
                  <w:spacing w:line="197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Characterization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of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Groundwater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Potential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Zones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from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Tropical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River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Basin</w:t>
                </w:r>
                <w:r>
                  <w:rPr>
                    <w:rFonts w:ascii="Arial"/>
                    <w:i/>
                    <w:color w:val="231F20"/>
                    <w:spacing w:val="21"/>
                    <w:w w:val="80"/>
                    <w:sz w:val="16"/>
                  </w:rPr>
                  <w:t xml:space="preserve"> </w:t>
                </w:r>
                <w:r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>
                  <w:rPr>
                    <w:rFonts w:ascii="Lucida Sans Unicode"/>
                    <w:color w:val="231F20"/>
                    <w:spacing w:val="48"/>
                    <w:sz w:val="12"/>
                  </w:rPr>
                  <w:t xml:space="preserve"> </w:t>
                </w:r>
                <w:r w:rsidR="000F4996">
                  <w:fldChar w:fldCharType="begin"/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 w:rsidR="000F4996">
                  <w:fldChar w:fldCharType="separate"/>
                </w:r>
                <w:r w:rsidR="005057F8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159</w:t>
                </w:r>
                <w:r w:rsidR="000F499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8A9"/>
    <w:multiLevelType w:val="hybridMultilevel"/>
    <w:tmpl w:val="DF648B96"/>
    <w:lvl w:ilvl="0" w:tplc="981A9F2C">
      <w:start w:val="1"/>
      <w:numFmt w:val="decimal"/>
      <w:lvlText w:val="%1"/>
      <w:lvlJc w:val="left"/>
      <w:pPr>
        <w:ind w:left="619" w:hanging="30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US" w:eastAsia="en-US" w:bidi="ar-SA"/>
      </w:rPr>
    </w:lvl>
    <w:lvl w:ilvl="1" w:tplc="CC5223BA">
      <w:numFmt w:val="bullet"/>
      <w:lvlText w:val="•"/>
      <w:lvlJc w:val="left"/>
      <w:pPr>
        <w:ind w:left="1624" w:hanging="309"/>
      </w:pPr>
      <w:rPr>
        <w:rFonts w:hint="default"/>
        <w:lang w:val="en-US" w:eastAsia="en-US" w:bidi="ar-SA"/>
      </w:rPr>
    </w:lvl>
    <w:lvl w:ilvl="2" w:tplc="E4808AC6">
      <w:numFmt w:val="bullet"/>
      <w:lvlText w:val="•"/>
      <w:lvlJc w:val="left"/>
      <w:pPr>
        <w:ind w:left="2628" w:hanging="309"/>
      </w:pPr>
      <w:rPr>
        <w:rFonts w:hint="default"/>
        <w:lang w:val="en-US" w:eastAsia="en-US" w:bidi="ar-SA"/>
      </w:rPr>
    </w:lvl>
    <w:lvl w:ilvl="3" w:tplc="75769936">
      <w:numFmt w:val="bullet"/>
      <w:lvlText w:val="•"/>
      <w:lvlJc w:val="left"/>
      <w:pPr>
        <w:ind w:left="3632" w:hanging="309"/>
      </w:pPr>
      <w:rPr>
        <w:rFonts w:hint="default"/>
        <w:lang w:val="en-US" w:eastAsia="en-US" w:bidi="ar-SA"/>
      </w:rPr>
    </w:lvl>
    <w:lvl w:ilvl="4" w:tplc="41640D2C">
      <w:numFmt w:val="bullet"/>
      <w:lvlText w:val="•"/>
      <w:lvlJc w:val="left"/>
      <w:pPr>
        <w:ind w:left="4636" w:hanging="309"/>
      </w:pPr>
      <w:rPr>
        <w:rFonts w:hint="default"/>
        <w:lang w:val="en-US" w:eastAsia="en-US" w:bidi="ar-SA"/>
      </w:rPr>
    </w:lvl>
    <w:lvl w:ilvl="5" w:tplc="C9428EF2">
      <w:numFmt w:val="bullet"/>
      <w:lvlText w:val="•"/>
      <w:lvlJc w:val="left"/>
      <w:pPr>
        <w:ind w:left="5640" w:hanging="309"/>
      </w:pPr>
      <w:rPr>
        <w:rFonts w:hint="default"/>
        <w:lang w:val="en-US" w:eastAsia="en-US" w:bidi="ar-SA"/>
      </w:rPr>
    </w:lvl>
    <w:lvl w:ilvl="6" w:tplc="564894F6">
      <w:numFmt w:val="bullet"/>
      <w:lvlText w:val="•"/>
      <w:lvlJc w:val="left"/>
      <w:pPr>
        <w:ind w:left="6644" w:hanging="309"/>
      </w:pPr>
      <w:rPr>
        <w:rFonts w:hint="default"/>
        <w:lang w:val="en-US" w:eastAsia="en-US" w:bidi="ar-SA"/>
      </w:rPr>
    </w:lvl>
    <w:lvl w:ilvl="7" w:tplc="15A6DD3A">
      <w:numFmt w:val="bullet"/>
      <w:lvlText w:val="•"/>
      <w:lvlJc w:val="left"/>
      <w:pPr>
        <w:ind w:left="7648" w:hanging="309"/>
      </w:pPr>
      <w:rPr>
        <w:rFonts w:hint="default"/>
        <w:lang w:val="en-US" w:eastAsia="en-US" w:bidi="ar-SA"/>
      </w:rPr>
    </w:lvl>
    <w:lvl w:ilvl="8" w:tplc="81E4A5F6">
      <w:numFmt w:val="bullet"/>
      <w:lvlText w:val="•"/>
      <w:lvlJc w:val="left"/>
      <w:pPr>
        <w:ind w:left="8652" w:hanging="309"/>
      </w:pPr>
      <w:rPr>
        <w:rFonts w:hint="default"/>
        <w:lang w:val="en-US" w:eastAsia="en-US" w:bidi="ar-SA"/>
      </w:rPr>
    </w:lvl>
  </w:abstractNum>
  <w:abstractNum w:abstractNumId="1">
    <w:nsid w:val="3B4740D5"/>
    <w:multiLevelType w:val="hybridMultilevel"/>
    <w:tmpl w:val="FC724ACC"/>
    <w:lvl w:ilvl="0" w:tplc="D3D6464A">
      <w:numFmt w:val="bullet"/>
      <w:lvlText w:val="•"/>
      <w:lvlJc w:val="left"/>
      <w:pPr>
        <w:ind w:left="190" w:hanging="97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n-US" w:eastAsia="en-US" w:bidi="ar-SA"/>
      </w:rPr>
    </w:lvl>
    <w:lvl w:ilvl="1" w:tplc="D16E0BCA">
      <w:numFmt w:val="bullet"/>
      <w:lvlText w:val="•"/>
      <w:lvlJc w:val="left"/>
      <w:pPr>
        <w:ind w:left="302" w:hanging="97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n-US" w:eastAsia="en-US" w:bidi="ar-SA"/>
      </w:rPr>
    </w:lvl>
    <w:lvl w:ilvl="2" w:tplc="BE2C4A18">
      <w:numFmt w:val="bullet"/>
      <w:lvlText w:val="•"/>
      <w:lvlJc w:val="left"/>
      <w:pPr>
        <w:ind w:left="663" w:hanging="97"/>
      </w:pPr>
      <w:rPr>
        <w:rFonts w:hint="default"/>
        <w:lang w:val="en-US" w:eastAsia="en-US" w:bidi="ar-SA"/>
      </w:rPr>
    </w:lvl>
    <w:lvl w:ilvl="3" w:tplc="0BB69100">
      <w:numFmt w:val="bullet"/>
      <w:lvlText w:val="•"/>
      <w:lvlJc w:val="left"/>
      <w:pPr>
        <w:ind w:left="1026" w:hanging="97"/>
      </w:pPr>
      <w:rPr>
        <w:rFonts w:hint="default"/>
        <w:lang w:val="en-US" w:eastAsia="en-US" w:bidi="ar-SA"/>
      </w:rPr>
    </w:lvl>
    <w:lvl w:ilvl="4" w:tplc="27A2D79C">
      <w:numFmt w:val="bullet"/>
      <w:lvlText w:val="•"/>
      <w:lvlJc w:val="left"/>
      <w:pPr>
        <w:ind w:left="1390" w:hanging="97"/>
      </w:pPr>
      <w:rPr>
        <w:rFonts w:hint="default"/>
        <w:lang w:val="en-US" w:eastAsia="en-US" w:bidi="ar-SA"/>
      </w:rPr>
    </w:lvl>
    <w:lvl w:ilvl="5" w:tplc="F3BAF0EE">
      <w:numFmt w:val="bullet"/>
      <w:lvlText w:val="•"/>
      <w:lvlJc w:val="left"/>
      <w:pPr>
        <w:ind w:left="1753" w:hanging="97"/>
      </w:pPr>
      <w:rPr>
        <w:rFonts w:hint="default"/>
        <w:lang w:val="en-US" w:eastAsia="en-US" w:bidi="ar-SA"/>
      </w:rPr>
    </w:lvl>
    <w:lvl w:ilvl="6" w:tplc="A4469A2A">
      <w:numFmt w:val="bullet"/>
      <w:lvlText w:val="•"/>
      <w:lvlJc w:val="left"/>
      <w:pPr>
        <w:ind w:left="2117" w:hanging="97"/>
      </w:pPr>
      <w:rPr>
        <w:rFonts w:hint="default"/>
        <w:lang w:val="en-US" w:eastAsia="en-US" w:bidi="ar-SA"/>
      </w:rPr>
    </w:lvl>
    <w:lvl w:ilvl="7" w:tplc="B564553C">
      <w:numFmt w:val="bullet"/>
      <w:lvlText w:val="•"/>
      <w:lvlJc w:val="left"/>
      <w:pPr>
        <w:ind w:left="2480" w:hanging="97"/>
      </w:pPr>
      <w:rPr>
        <w:rFonts w:hint="default"/>
        <w:lang w:val="en-US" w:eastAsia="en-US" w:bidi="ar-SA"/>
      </w:rPr>
    </w:lvl>
    <w:lvl w:ilvl="8" w:tplc="5BE0258E">
      <w:numFmt w:val="bullet"/>
      <w:lvlText w:val="•"/>
      <w:lvlJc w:val="left"/>
      <w:pPr>
        <w:ind w:left="2844" w:hanging="9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996"/>
    <w:rsid w:val="000F4996"/>
    <w:rsid w:val="005057F8"/>
    <w:rsid w:val="0078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9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F4996"/>
    <w:pPr>
      <w:ind w:left="15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0F4996"/>
    <w:pPr>
      <w:ind w:left="151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4996"/>
    <w:rPr>
      <w:sz w:val="19"/>
      <w:szCs w:val="19"/>
    </w:rPr>
  </w:style>
  <w:style w:type="paragraph" w:styleId="Title">
    <w:name w:val="Title"/>
    <w:basedOn w:val="Normal"/>
    <w:uiPriority w:val="1"/>
    <w:qFormat/>
    <w:rsid w:val="000F4996"/>
    <w:pPr>
      <w:spacing w:before="53"/>
      <w:ind w:left="466" w:right="446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0F4996"/>
    <w:pPr>
      <w:spacing w:line="181" w:lineRule="exact"/>
      <w:ind w:left="190" w:hanging="97"/>
    </w:pPr>
  </w:style>
  <w:style w:type="paragraph" w:customStyle="1" w:styleId="TableParagraph">
    <w:name w:val="Table Paragraph"/>
    <w:basedOn w:val="Normal"/>
    <w:uiPriority w:val="1"/>
    <w:qFormat/>
    <w:rsid w:val="000F4996"/>
  </w:style>
  <w:style w:type="paragraph" w:styleId="BalloonText">
    <w:name w:val="Balloon Text"/>
    <w:basedOn w:val="Normal"/>
    <w:link w:val="BalloonTextChar"/>
    <w:uiPriority w:val="99"/>
    <w:semiHidden/>
    <w:unhideWhenUsed/>
    <w:rsid w:val="0050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Sherin et al1.cdr</dc:title>
  <dc:creator>Shrikant</dc:creator>
  <cp:lastModifiedBy>Prof. Sumedh Humane</cp:lastModifiedBy>
  <cp:revision>2</cp:revision>
  <dcterms:created xsi:type="dcterms:W3CDTF">2023-06-27T15:08:00Z</dcterms:created>
  <dcterms:modified xsi:type="dcterms:W3CDTF">2023-06-27T15:35:00Z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